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ind w:left="251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ind w:left="241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ind w:left="241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ind w:left="161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="276" w:lineRule="auto"/>
        <w:ind w:left="161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ind w:left="161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ind w:left="161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ind w:left="161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ind w:left="161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ind w:left="161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ind w:left="161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ind w:left="161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left="161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ind w:left="161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left="161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center"/>
        <w:rPr>
          <w:rFonts w:ascii="Arial" w:cs="Arial" w:eastAsia="Arial" w:hAnsi="Arial"/>
          <w:i w:val="1"/>
          <w:iCs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0"/>
          <w:szCs w:val="40"/>
          <w:rtl w:val="0"/>
        </w:rPr>
        <w:t xml:space="preserve">Procedura zgłoszeń wewnętrznych od sygnalistów </w:t>
        <w:br w:type="textWrapping"/>
        <w:t xml:space="preserve">i podejmowania działań następczych </w:t>
        <w:br w:type="textWrapping"/>
        <w:t xml:space="preserve">w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40"/>
          <w:szCs w:val="40"/>
          <w:highlight w:val="yellow"/>
          <w:u w:val="single"/>
          <w:rtl w:val="0"/>
        </w:rPr>
        <w:t xml:space="preserve">[nazwa podmiotu]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ind w:left="161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SPIS TREŚCI </w:t>
      </w:r>
    </w:p>
    <w:sdt>
      <w:sdtPr>
        <w:id w:val="574480010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none" w:pos="10194"/>
            </w:tabs>
            <w:spacing w:after="159" w:before="0" w:line="259" w:lineRule="auto"/>
            <w:ind w:left="397" w:right="23" w:hanging="10"/>
            <w:jc w:val="left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gjdgxs"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I. </w:t>
              <w:tab/>
              <w:t xml:space="preserve">CEL PROCEDURY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none" w:pos="10194"/>
            </w:tabs>
            <w:spacing w:after="159" w:before="0" w:line="259" w:lineRule="auto"/>
            <w:ind w:left="397" w:right="23" w:hanging="10"/>
            <w:jc w:val="left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30j0zll"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II. </w:t>
              <w:tab/>
              <w:t xml:space="preserve">DEFINICJE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none" w:pos="10194"/>
            </w:tabs>
            <w:spacing w:after="159" w:before="0" w:line="259" w:lineRule="auto"/>
            <w:ind w:left="397" w:right="23" w:hanging="10"/>
            <w:jc w:val="left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1fob9te"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</w:t>
              <w:tab/>
              <w:t xml:space="preserve">ZASADY OBSŁUGI ZGŁOSZEŃ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none" w:pos="10194"/>
            </w:tabs>
            <w:spacing w:after="159" w:before="0" w:line="259" w:lineRule="auto"/>
            <w:ind w:left="397" w:right="23" w:hanging="10"/>
            <w:jc w:val="left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3znysh7"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</w:t>
              <w:tab/>
              <w:t xml:space="preserve">SPOSÓB DOKONYWANIA ZGŁOSZENIA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none" w:pos="10194"/>
            </w:tabs>
            <w:spacing w:after="159" w:before="0" w:line="259" w:lineRule="auto"/>
            <w:ind w:left="397" w:right="23" w:hanging="10"/>
            <w:jc w:val="left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2et92p0"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III. </w:t>
              <w:tab/>
              <w:t xml:space="preserve">PRAWA ZGŁASZAJĄCEGO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200"/>
              <w:tab w:val="right" w:leader="none" w:pos="10194"/>
            </w:tabs>
            <w:spacing w:after="159" w:before="0" w:line="259" w:lineRule="auto"/>
            <w:ind w:left="397" w:right="23" w:hanging="10"/>
            <w:jc w:val="left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tyjcwt"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 </w:t>
            </w:r>
          </w:hyperlink>
          <w:hyperlink w:anchor="_tyjcwt"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</w:t>
            </w:r>
          </w:hyperlink>
          <w:hyperlink w:anchor="_tyjcwt"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OBSŁUGA ZGŁOSZENIA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none" w:pos="10194"/>
            </w:tabs>
            <w:spacing w:after="159" w:before="0" w:line="259" w:lineRule="auto"/>
            <w:ind w:left="397" w:right="23" w:hanging="10"/>
            <w:jc w:val="left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3dy6vkm"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V. </w:t>
              <w:tab/>
              <w:t xml:space="preserve">ZASADY OCHRONY DANYCH OSOBOWYCH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200"/>
              <w:tab w:val="right" w:leader="none" w:pos="10194"/>
            </w:tabs>
            <w:spacing w:after="159" w:before="0" w:line="259" w:lineRule="auto"/>
            <w:ind w:left="397" w:right="23" w:hanging="10"/>
            <w:jc w:val="left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1t3h5sf"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 </w:t>
            </w:r>
          </w:hyperlink>
          <w:hyperlink w:anchor="_1t3h5sf"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</w:t>
            </w:r>
          </w:hyperlink>
          <w:hyperlink w:anchor="_1t3h5sf"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POSTANOWIENIA KOŃCOWE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spacing w:after="0" w:line="276" w:lineRule="auto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C">
      <w:pPr>
        <w:spacing w:after="0" w:line="276" w:lineRule="auto"/>
        <w:ind w:left="161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line="276" w:lineRule="auto"/>
        <w:ind w:left="161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276" w:lineRule="auto"/>
        <w:ind w:left="161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0" w:line="276" w:lineRule="auto"/>
        <w:ind w:left="161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tabs>
          <w:tab w:val="center" w:leader="none" w:pos="431"/>
          <w:tab w:val="center" w:leader="none" w:pos="2097"/>
        </w:tabs>
        <w:spacing w:after="0" w:line="276" w:lineRule="auto"/>
        <w:ind w:left="1080" w:firstLine="0"/>
        <w:rPr>
          <w:rFonts w:ascii="Arial" w:cs="Arial" w:eastAsia="Arial" w:hAnsi="Arial"/>
          <w:sz w:val="20"/>
          <w:szCs w:val="20"/>
        </w:rPr>
      </w:pPr>
      <w:bookmarkStart w:colFirst="0" w:colLast="0" w:name="_ejiubrh3csgw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center" w:leader="none" w:pos="431"/>
          <w:tab w:val="center" w:leader="none" w:pos="2097"/>
        </w:tabs>
        <w:jc w:val="both"/>
        <w:rPr>
          <w:i w:val="1"/>
          <w:iCs w:val="1"/>
          <w:highlight w:val="yellow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UWAGA: </w:t>
      </w:r>
      <w:r w:rsidDel="00000000" w:rsidR="00000000" w:rsidRPr="00000000">
        <w:rPr>
          <w:i w:val="1"/>
          <w:iCs w:val="1"/>
          <w:highlight w:val="yellow"/>
          <w:rtl w:val="0"/>
        </w:rPr>
        <w:t xml:space="preserve">niniejszy dokument jest jedynie przykładowym wzorem procedury dla sygnalistów, który ma na celu zaprezentowanie proponowanej struktury i przykładowych treści poszczególnych postanowień. Dokument nie spełnia wszystkich wymogów wynikających z ustawy o ochronie sygnalistów i przed jego wdrożeniem zalecana jest konsultacja ze specjalistami świadczącymi usługi wdrożenia ustawy o ochronie sygnalistów i dopasowanie treści procedury do wymogów danego podmiotu - skontaktuj się z </w:t>
      </w:r>
      <w:r w:rsidDel="00000000" w:rsidR="00000000" w:rsidRPr="00000000">
        <w:rPr>
          <w:i w:val="1"/>
          <w:iCs w:val="1"/>
          <w:highlight w:val="yellow"/>
          <w:rtl w:val="0"/>
        </w:rPr>
        <w:t xml:space="preserve">Wemoral - autorami </w:t>
      </w:r>
      <w:hyperlink r:id="rId6">
        <w:r w:rsidDel="00000000" w:rsidR="00000000" w:rsidRPr="00000000">
          <w:rPr>
            <w:i w:val="1"/>
            <w:iCs w:val="1"/>
            <w:color w:val="1155cc"/>
            <w:highlight w:val="yellow"/>
            <w:u w:val="single"/>
            <w:rtl w:val="0"/>
          </w:rPr>
          <w:t xml:space="preserve">bezpiecznego systemu dla sygnalistów</w:t>
        </w:r>
      </w:hyperlink>
      <w:r w:rsidDel="00000000" w:rsidR="00000000" w:rsidRPr="00000000">
        <w:rPr>
          <w:i w:val="1"/>
          <w:iCs w:val="1"/>
          <w:highlight w:val="yellow"/>
          <w:rtl w:val="0"/>
        </w:rPr>
        <w:t xml:space="preserve"> w celu pomocy w opracowaniu właściwej procedury dla twojej organizacji. </w:t>
      </w:r>
    </w:p>
    <w:p w:rsidR="00000000" w:rsidDel="00000000" w:rsidP="00000000" w:rsidRDefault="00000000" w:rsidRPr="00000000" w14:paraId="00000023">
      <w:pPr>
        <w:tabs>
          <w:tab w:val="center" w:leader="none" w:pos="431"/>
          <w:tab w:val="center" w:leader="none" w:pos="2097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numPr>
          <w:ilvl w:val="0"/>
          <w:numId w:val="5"/>
        </w:numPr>
        <w:tabs>
          <w:tab w:val="center" w:leader="none" w:pos="431"/>
          <w:tab w:val="center" w:leader="none" w:pos="2097"/>
        </w:tabs>
        <w:spacing w:after="0" w:line="276" w:lineRule="auto"/>
        <w:ind w:left="1080" w:hanging="720"/>
        <w:rPr>
          <w:rFonts w:ascii="Arial" w:cs="Arial" w:eastAsia="Arial" w:hAnsi="Arial"/>
          <w:sz w:val="20"/>
          <w:szCs w:val="20"/>
        </w:rPr>
      </w:pPr>
      <w:bookmarkStart w:colFirst="0" w:colLast="0" w:name="_gjdgxs" w:id="1"/>
      <w:bookmarkEnd w:id="1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CEL PROCEDURY</w:t>
      </w:r>
    </w:p>
    <w:p w:rsidR="00000000" w:rsidDel="00000000" w:rsidP="00000000" w:rsidRDefault="00000000" w:rsidRPr="00000000" w14:paraId="00000025">
      <w:pPr>
        <w:spacing w:after="0" w:line="276" w:lineRule="auto"/>
        <w:ind w:left="42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Celem niniejszej procedury jest zapewnienie zgodnego z prawem krajowym i europejskim funkcjonowania organizacji poprzez wprowadzenie mechanizmu zapewniającego przeciwdziałanie i zwalczanie wszelkich nieprawidłowości związanych z funkcjonowaniem organizacji w postaci kanału anonimowego zgłaszania nieprawidłowości oraz ustanowienie mechanizmu ich efektywnego rozpatrywania, jak również dbałość o interesy osób zgłaszających nieprawidłowości i zapewnienie im ochrony przed ewentualnymi działaniami odwetowymi.  </w:t>
      </w:r>
    </w:p>
    <w:p w:rsidR="00000000" w:rsidDel="00000000" w:rsidP="00000000" w:rsidRDefault="00000000" w:rsidRPr="00000000" w14:paraId="00000026">
      <w:pPr>
        <w:spacing w:after="0" w:line="276" w:lineRule="auto"/>
        <w:ind w:left="161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7">
      <w:pPr>
        <w:pStyle w:val="Heading2"/>
        <w:numPr>
          <w:ilvl w:val="0"/>
          <w:numId w:val="5"/>
        </w:numPr>
        <w:tabs>
          <w:tab w:val="center" w:leader="none" w:pos="378"/>
          <w:tab w:val="center" w:leader="none" w:pos="1637"/>
        </w:tabs>
        <w:spacing w:after="0" w:line="276" w:lineRule="auto"/>
        <w:ind w:left="1080" w:hanging="720"/>
        <w:rPr>
          <w:rFonts w:ascii="Arial" w:cs="Arial" w:eastAsia="Arial" w:hAnsi="Arial"/>
          <w:sz w:val="20"/>
          <w:szCs w:val="20"/>
        </w:rPr>
      </w:pPr>
      <w:bookmarkStart w:colFirst="0" w:colLast="0" w:name="_30j0zll" w:id="2"/>
      <w:bookmarkEnd w:id="2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DEFINICJE </w:t>
      </w:r>
      <w:r w:rsidDel="00000000" w:rsidR="00000000" w:rsidRPr="00000000">
        <w:rPr>
          <w:rFonts w:ascii="Arial" w:cs="Arial" w:eastAsia="Arial" w:hAnsi="Arial"/>
          <w:color w:val="999999"/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color w:val="999999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0"/>
          <w:szCs w:val="20"/>
          <w:highlight w:val="yellow"/>
          <w:rtl w:val="0"/>
        </w:rPr>
        <w:t xml:space="preserve">w tej części dokumentu należy zdefiniować wszelkie istotne pojęcia, które mają znaczenie i będa wykorzystywane w ramach całej procedury zgłaszania naruszeń prawa. </w:t>
      </w:r>
    </w:p>
    <w:p w:rsidR="00000000" w:rsidDel="00000000" w:rsidP="00000000" w:rsidRDefault="00000000" w:rsidRPr="00000000" w14:paraId="00000028">
      <w:pPr>
        <w:tabs>
          <w:tab w:val="center" w:leader="none" w:pos="378"/>
          <w:tab w:val="center" w:leader="none" w:pos="1637"/>
        </w:tabs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WeMoral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dedykowana dla Podmiotu platforma umożliwiająca anonimowe zgłaszanie nieprawidłowości przez Zgłaszających;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Nieprawidłowość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należy przez to rozumieć informację, w tym uzasadnione podejrzenie, dotyczące zaistniałego lub potencjalnego naruszenia prawa, do którego doszło lub prawdopodobnie dojdzie w Podmiocie lub dotyczącą próby ukrycia takiego naruszenia prawa, w szczególności, ale nie wyłącznie, w obszarze: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8" w:right="0" w:hanging="709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zamówień publicznych;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8" w:right="0" w:hanging="709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usług, produktów i rynków finansowych;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8" w:right="0" w:hanging="709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zapobiegania praniu pieniędzy i finansowaniu terroryzmu;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8" w:right="0" w:hanging="709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bezpieczeństwa produktów i ich zgodności z wymogami;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8" w:right="0" w:hanging="709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bezpieczeństwa transportu;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8" w:right="0" w:hanging="709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ochrony środowiska;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8" w:right="0" w:hanging="709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ochrony radiologicznej i bezpieczeństwa jądrowego;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8" w:right="0" w:hanging="709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bezpieczeństwa żywności i pasz;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8" w:right="0" w:hanging="709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zdrowia i dobrostanu zwierząt;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8" w:right="0" w:hanging="709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zdrowia publicznego;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8" w:right="0" w:hanging="709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ochrony konsumentów;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8" w:right="0" w:hanging="709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ochrony prywatności i danych osobowych;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8" w:right="0" w:hanging="709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bezpieczeństwa sieci i systemów teleinformatycznych;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8" w:right="0" w:hanging="709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interesów finansowych Unii Europejskiej;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8" w:right="0" w:hanging="709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rynku wewnętrznego Unii Europejskiej, w tym zasad konkurencji i pomocy państwa oraz opodatkowania osób prawnych;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8" w:right="0" w:hanging="709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przestępstw gospodarczych (kradzieży, zniszczenia mienia, oszustwa, fałszerstwa, działań na szkodę spółki,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8" w:right="0" w:hanging="709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łamania praw pracowniczych, naruszeń przepisów bezpieczeństwa i higieny pracy, mobbingu, molestowania, zachowań dyskryminujących,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8" w:right="0" w:hanging="709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naruszenia zakazu konkurencji i ujawniania tajemnicy prawnie chronionej (przedsiębiorstwa),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8" w:right="0" w:hanging="709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konfliktu interesów;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line="276" w:lineRule="auto"/>
        <w:ind w:left="709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Zgłoszenie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– informacja o rzeczywistych i potencjalnych Nieprawidłowościach zgłoszona w ramach Systemu zgłoszeniowego;  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line="276" w:lineRule="auto"/>
        <w:ind w:left="709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Zgłaszający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– osoba fizyczna będąca obywatelem Unii Europejskiej lub innego państwa trzeciego, która dokonała Zgłoszenia, w szczególności: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after="0" w:line="276" w:lineRule="auto"/>
        <w:ind w:left="1134" w:hanging="43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Pracownik (w tym pracownik tymczasowy), także w przypadku, gdy stosunek pracy już ustał, 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after="0" w:line="276" w:lineRule="auto"/>
        <w:ind w:left="1134" w:hanging="43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osoba ubiegającej się o zatrudnienie, która uzyskała informację o naruszeniu prawa w procesie rekrutacji lub negocjacji poprzedzających zawarcie umowy, 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after="0" w:line="276" w:lineRule="auto"/>
        <w:ind w:left="1134" w:hanging="43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osoba świadcząca pracę na innej podstawie niż stosunek pracy, w tym na podstawie umowy cywilnoprawnej, 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pacing w:after="0" w:line="276" w:lineRule="auto"/>
        <w:ind w:left="1134" w:hanging="43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przedsiębiora, 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after="0" w:line="276" w:lineRule="auto"/>
        <w:ind w:left="1134" w:hanging="43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akcjonariusz lub wspólnik, 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after="0" w:line="276" w:lineRule="auto"/>
        <w:ind w:left="1134" w:hanging="43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członek organu Podmiotu, 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after="0" w:line="276" w:lineRule="auto"/>
        <w:ind w:left="1134" w:hanging="43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osoba świadcząca pracę pod nadzorem i kierownictwem wykonawcy, podwykonawcy lub dostawcy Podmiotu, w tym na podstawie umowy cywilnoprawnej, 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after="0" w:line="276" w:lineRule="auto"/>
        <w:ind w:left="1134" w:hanging="43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stażysta, 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after="0" w:line="276" w:lineRule="auto"/>
        <w:ind w:left="1134" w:hanging="43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wolontariusz, 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line="276" w:lineRule="auto"/>
        <w:ind w:left="709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Koordynator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– osoba fizyczna działająca w imieniu i na rzecz Podmiotu, odpowiedzialna za wstępną weryfikację Zgłoszeń dokonanych za pośrednictwem Aplikacji celem kategoryzacji jako Zgłoszenia przydatnego lub Zgłoszenia nieprzydatnego; 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line="276" w:lineRule="auto"/>
        <w:ind w:left="709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System zgłoszeniowy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– ogół środków organizacyjnych, technicznych, prawnych i osobowych służących do zgłaszania i zarządzania Zgłoszeniami;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line="276" w:lineRule="auto"/>
        <w:ind w:left="709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Działanie odwetowe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– należy przez to rozumieć bezpośrednie lub pośrednie działanie lub zaniechanie, które jest spowodowane zgłoszeniem lub ujawnieniem publicznym i które narusza lub może naruszyć prawa Zgłaszającego lub wyrządza lub może wyrządzić szkodę Zgłaszającemu; 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line="276" w:lineRule="auto"/>
        <w:ind w:left="709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RODO 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76" w:lineRule="auto"/>
        <w:ind w:left="709" w:hanging="36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Podmiot –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[dane rejestrowe podmiotu]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76" w:lineRule="auto"/>
        <w:ind w:left="161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numPr>
          <w:ilvl w:val="0"/>
          <w:numId w:val="5"/>
        </w:numPr>
        <w:tabs>
          <w:tab w:val="center" w:leader="none" w:pos="431"/>
          <w:tab w:val="center" w:leader="none" w:pos="2935"/>
        </w:tabs>
        <w:spacing w:after="0" w:line="276" w:lineRule="auto"/>
        <w:ind w:left="1080" w:hanging="720"/>
        <w:rPr>
          <w:rFonts w:ascii="Arial" w:cs="Arial" w:eastAsia="Arial" w:hAnsi="Arial"/>
          <w:sz w:val="20"/>
          <w:szCs w:val="20"/>
        </w:rPr>
      </w:pPr>
      <w:bookmarkStart w:colFirst="0" w:colLast="0" w:name="_1fob9te" w:id="3"/>
      <w:bookmarkEnd w:id="3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ZASADY OBSŁUGI ZGŁOSZEŃ -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0"/>
          <w:szCs w:val="20"/>
          <w:highlight w:val="yellow"/>
          <w:rtl w:val="0"/>
        </w:rPr>
        <w:t xml:space="preserve">w tej części należy opisać wyczerpująco i szczegółowo przebieg procesu obsługi zgłoszeń przesłanych przez sygnalistów, z uwzględnieniem nie tylko wymogów wynikających z ustawy ale również dobrych praktyk w zakresie np. unikania konfliktów interesów, zapewnienie poufności czy przejrzystości.</w:t>
      </w:r>
      <w:r w:rsidDel="00000000" w:rsidR="00000000" w:rsidRPr="00000000">
        <w:rPr>
          <w:rFonts w:ascii="Arial" w:cs="Arial" w:eastAsia="Arial" w:hAnsi="Arial"/>
          <w:b w:val="0"/>
          <w:bCs w:val="0"/>
          <w:sz w:val="20"/>
          <w:szCs w:val="20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50">
      <w:pPr>
        <w:tabs>
          <w:tab w:val="center" w:leader="none" w:pos="431"/>
          <w:tab w:val="center" w:leader="none" w:pos="2935"/>
        </w:tabs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76" w:lineRule="auto"/>
        <w:ind w:left="42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Podmiot zapewnia, że dzięki zastosowanym rozwiązaniom technicznym każde Zgłoszenie będzie rozpatrywane zgodnie z poniższymi zasadami: 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spacing w:after="0" w:line="276" w:lineRule="auto"/>
        <w:ind w:left="709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Anonimowość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– WeMoral zapewnia Zgłaszającemu pełną anonimowość poprzez m.in. szyfrowanie danych i brak identyfikacji Zgłaszających, usuwanie metadanych z plików dołączanych do Zgłoszenia. 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spacing w:after="0" w:line="276" w:lineRule="auto"/>
        <w:ind w:left="709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…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pacing w:after="0" w:line="276" w:lineRule="auto"/>
        <w:ind w:left="709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…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pacing w:after="0" w:line="276" w:lineRule="auto"/>
        <w:ind w:left="709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…</w:t>
      </w:r>
    </w:p>
    <w:p w:rsidR="00000000" w:rsidDel="00000000" w:rsidP="00000000" w:rsidRDefault="00000000" w:rsidRPr="00000000" w14:paraId="00000056">
      <w:pPr>
        <w:spacing w:after="0" w:line="276" w:lineRule="auto"/>
        <w:ind w:left="881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numPr>
          <w:ilvl w:val="0"/>
          <w:numId w:val="2"/>
        </w:numPr>
        <w:tabs>
          <w:tab w:val="center" w:leader="none" w:pos="378"/>
          <w:tab w:val="center" w:leader="none" w:pos="3559"/>
        </w:tabs>
        <w:spacing w:after="0" w:line="276" w:lineRule="auto"/>
        <w:ind w:left="1134" w:hanging="360"/>
        <w:rPr>
          <w:rFonts w:ascii="Arial" w:cs="Arial" w:eastAsia="Arial" w:hAnsi="Arial"/>
          <w:sz w:val="20"/>
          <w:szCs w:val="20"/>
        </w:rPr>
      </w:pPr>
      <w:bookmarkStart w:colFirst="0" w:colLast="0" w:name="_3znysh7" w:id="4"/>
      <w:bookmarkEnd w:id="4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SPOSÓB DOKONYWANIA ZGŁOSZENIA  -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0"/>
          <w:szCs w:val="20"/>
          <w:highlight w:val="yellow"/>
          <w:rtl w:val="0"/>
        </w:rPr>
        <w:t xml:space="preserve">w tej części należy precyzyjnie i w sposób jasny opisać sposób i przebieg procesu zgłaszania naruszeń prawa przez sygnalistów. Zwracamy uwagę, że instrukcja powinna być napisana prostym językiem, gdyż stanowi ona “instrukcję obsługi” dla sygnalistów. 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spacing w:after="0" w:line="276" w:lineRule="auto"/>
        <w:ind w:left="709" w:hanging="283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Zgłaszający powinien zapoznać się z niniejszą procedurą przed dokonaniem Zgłoszenia.  </w:t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spacing w:after="0" w:line="276" w:lineRule="auto"/>
        <w:ind w:left="709" w:hanging="283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Tekst procedury jest udostępniony w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[proszę o wskazanie miejsca. Zazwyczaj strona internetowa Podmiotu, miejsce ogłoszeń zwyczajowo przyjęte w podmiocie, jak również strona zgłoszeń w WeMoral].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spacing w:after="0" w:line="276" w:lineRule="auto"/>
        <w:ind w:left="709" w:hanging="283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Zgłoszenia można dokonać za pośrednictwem WeMoral udostępnionej pod adresem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https://wemoral.com/pl/report/demo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[link do strony zgłoszeń]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76" w:lineRule="auto"/>
        <w:ind w:left="86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76" w:lineRule="auto"/>
        <w:ind w:left="881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numPr>
          <w:ilvl w:val="0"/>
          <w:numId w:val="2"/>
        </w:numPr>
        <w:tabs>
          <w:tab w:val="center" w:leader="none" w:pos="2698"/>
        </w:tabs>
        <w:spacing w:after="0" w:line="276" w:lineRule="auto"/>
        <w:ind w:left="1134" w:hanging="360"/>
        <w:rPr>
          <w:rFonts w:ascii="Arial" w:cs="Arial" w:eastAsia="Arial" w:hAnsi="Arial"/>
          <w:sz w:val="20"/>
          <w:szCs w:val="20"/>
        </w:rPr>
      </w:pPr>
      <w:bookmarkStart w:colFirst="0" w:colLast="0" w:name="_2et92p0" w:id="5"/>
      <w:bookmarkEnd w:id="5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PRAWA ZGŁASZAJĄCEGO -</w:t>
      </w:r>
      <w:r w:rsidDel="00000000" w:rsidR="00000000" w:rsidRPr="00000000">
        <w:rPr>
          <w:rFonts w:ascii="Arial" w:cs="Arial" w:eastAsia="Arial" w:hAnsi="Arial"/>
          <w:b w:val="0"/>
          <w:bCs w:val="0"/>
          <w:sz w:val="20"/>
          <w:szCs w:val="20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0"/>
          <w:szCs w:val="20"/>
          <w:highlight w:val="yellow"/>
          <w:rtl w:val="0"/>
        </w:rPr>
        <w:t xml:space="preserve">w związku z tym, że celem całego systemu zgłaszania naruszeń prawa jest tak naprawdę zapewnienie ochrony sygnaliście, w tym punkcie należy opisać szczegółowo jego prawa w całym procesie, w tym prawa gwarantowane przez podmiot oraz konsekwencje naruszenia tych praw. </w:t>
      </w:r>
    </w:p>
    <w:p w:rsidR="00000000" w:rsidDel="00000000" w:rsidP="00000000" w:rsidRDefault="00000000" w:rsidRPr="00000000" w14:paraId="0000005E">
      <w:pPr>
        <w:spacing w:after="0" w:line="276" w:lineRule="auto"/>
        <w:ind w:left="1241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Zgłaszający działający w dobrej wierze oraz osoby wspomagające Zgłaszającego zostają objęte ochroną przez Działaniami odwetowymi. 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Ochrona Zgłaszającego, będącego pracownikiem Podmiotu obejmuje w szczególności ochronę przed następującymi działaniami podjętymi nieobiektywnie, w wyniku dokonania Zgłoszenia lub publicznego ujawnienia Nieprawidłowości: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76" w:right="0" w:hanging="490.99999999999994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odmoweą nawiązania stosunku pracy,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76" w:right="0" w:hanging="490.99999999999994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wypowiedzeniem lub rozwiązaniem bez wypowiedzenia stosunku pracy,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76" w:right="0" w:hanging="490.99999999999994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niezawarciem umowy o pracę na czas określony po rozwiązaniu umowy o pracę na okres próbny, niezawarciem kolejnej umowy o pracę na czas określony lub niezawarciem umowy o pracę na czas nieokreślony, po rozwiązaniu umowy o pracę na czas określony – w sytuacji gdy pracownik miał uzasadnione oczekiwanie, że zostanie z nim zawarta taka umowa,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2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76" w:lineRule="auto"/>
        <w:ind w:left="881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numPr>
          <w:ilvl w:val="0"/>
          <w:numId w:val="2"/>
        </w:numPr>
        <w:tabs>
          <w:tab w:val="center" w:leader="none" w:pos="2527"/>
        </w:tabs>
        <w:spacing w:after="0" w:line="276" w:lineRule="auto"/>
        <w:ind w:left="1134" w:hanging="360"/>
        <w:rPr>
          <w:rFonts w:ascii="Arial" w:cs="Arial" w:eastAsia="Arial" w:hAnsi="Arial"/>
          <w:sz w:val="20"/>
          <w:szCs w:val="20"/>
        </w:rPr>
      </w:pPr>
      <w:bookmarkStart w:colFirst="0" w:colLast="0" w:name="_tyjcwt" w:id="6"/>
      <w:bookmarkEnd w:id="6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OBSŁUGA ZGŁOSZENIA </w:t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spacing w:after="0" w:line="276" w:lineRule="auto"/>
        <w:ind w:left="709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Zgłoszenia dokonane za pomocą WeMoral są analizowane przez Koordynatora pod kątem kwalifikacji jako zgłoszenia uzasadnionego albo nieuzasadnionego. </w:t>
      </w:r>
    </w:p>
    <w:p w:rsidR="00000000" w:rsidDel="00000000" w:rsidP="00000000" w:rsidRDefault="00000000" w:rsidRPr="00000000" w14:paraId="00000068">
      <w:pPr>
        <w:spacing w:after="0" w:line="276" w:lineRule="auto"/>
        <w:ind w:left="86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76" w:lineRule="auto"/>
        <w:ind w:left="50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76" w:lineRule="auto"/>
        <w:ind w:left="161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2"/>
        <w:numPr>
          <w:ilvl w:val="0"/>
          <w:numId w:val="2"/>
        </w:numPr>
        <w:tabs>
          <w:tab w:val="center" w:leader="none" w:pos="385"/>
          <w:tab w:val="center" w:leader="none" w:pos="3857"/>
        </w:tabs>
        <w:spacing w:after="0" w:line="276" w:lineRule="auto"/>
        <w:ind w:left="1134" w:hanging="360"/>
        <w:rPr>
          <w:rFonts w:ascii="Arial" w:cs="Arial" w:eastAsia="Arial" w:hAnsi="Arial"/>
          <w:sz w:val="20"/>
          <w:szCs w:val="20"/>
        </w:rPr>
      </w:pPr>
      <w:bookmarkStart w:colFirst="0" w:colLast="0" w:name="_3dy6vkm" w:id="7"/>
      <w:bookmarkEnd w:id="7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ZASADY OCHRONY DANYCH OSOBOWYCH </w:t>
      </w:r>
    </w:p>
    <w:p w:rsidR="00000000" w:rsidDel="00000000" w:rsidP="00000000" w:rsidRDefault="00000000" w:rsidRPr="00000000" w14:paraId="0000006C">
      <w:pPr>
        <w:numPr>
          <w:ilvl w:val="0"/>
          <w:numId w:val="8"/>
        </w:numPr>
        <w:spacing w:after="0" w:line="276" w:lineRule="auto"/>
        <w:ind w:left="709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Dane osobowe Zgłaszających oraz osób, których Zgłoszenia dotyczą (potencjalni sprawcy, świadkowie, pokrzywdzeni) chronione są zgodnie z obowiązującymi przepisami prawa, w tym z RODO i ustawą o ochronie danych osobowych. Administrator danych osobowych zapewnia adekwatny poziom ochrony danych osobowych Zgłaszających. </w:t>
      </w:r>
    </w:p>
    <w:p w:rsidR="00000000" w:rsidDel="00000000" w:rsidP="00000000" w:rsidRDefault="00000000" w:rsidRPr="00000000" w14:paraId="0000006D">
      <w:pPr>
        <w:spacing w:after="0" w:line="276" w:lineRule="auto"/>
        <w:ind w:left="86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76" w:lineRule="auto"/>
        <w:ind w:left="50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2"/>
        <w:numPr>
          <w:ilvl w:val="0"/>
          <w:numId w:val="2"/>
        </w:numPr>
        <w:tabs>
          <w:tab w:val="center" w:leader="none" w:pos="2900"/>
        </w:tabs>
        <w:spacing w:after="0" w:line="276" w:lineRule="auto"/>
        <w:ind w:left="1134" w:hanging="360"/>
        <w:rPr>
          <w:rFonts w:ascii="Arial" w:cs="Arial" w:eastAsia="Arial" w:hAnsi="Arial"/>
          <w:sz w:val="20"/>
          <w:szCs w:val="20"/>
        </w:rPr>
      </w:pPr>
      <w:bookmarkStart w:colFirst="0" w:colLast="0" w:name="_1t3h5sf" w:id="8"/>
      <w:bookmarkEnd w:id="8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POSTANOWIENIA KOŃCOWE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6" w:right="0" w:hanging="44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Niniejszy regulamin wchodzi w życie z dniem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sz w:val="20"/>
          <w:szCs w:val="20"/>
          <w:highlight w:val="yellow"/>
          <w:u w:val="none"/>
          <w:vertAlign w:val="baseline"/>
          <w:rtl w:val="0"/>
        </w:rPr>
        <w:t xml:space="preserve">[data]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851" w:top="851" w:left="851" w:right="851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color w:val="434343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color w:val="1155cc"/>
        <w:sz w:val="20"/>
        <w:szCs w:val="20"/>
        <w:u w:val="single"/>
      </w:rPr>
    </w:pPr>
    <w:r w:rsidDel="00000000" w:rsidR="00000000" w:rsidRPr="00000000">
      <w:rPr>
        <w:sz w:val="20"/>
        <w:szCs w:val="20"/>
        <w:rtl w:val="0"/>
      </w:rPr>
      <w:t xml:space="preserve">Procedura dla sygnalistów</w:t>
    </w:r>
    <w:r w:rsidDel="00000000" w:rsidR="00000000" w:rsidRPr="00000000">
      <w:rPr>
        <w:sz w:val="20"/>
        <w:szCs w:val="20"/>
        <w:rtl w:val="0"/>
      </w:rPr>
      <w:t xml:space="preserve"> przygotowana we współpracy z Kancelarią Prawną Sawicki.Legal</w:t>
      <w:br w:type="textWrapping"/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wemoral.com</w:t>
      </w:r>
    </w:hyperlink>
    <w:r w:rsidDel="00000000" w:rsidR="00000000" w:rsidRPr="00000000">
      <w:rPr>
        <w:sz w:val="20"/>
        <w:szCs w:val="20"/>
        <w:rtl w:val="0"/>
      </w:rPr>
      <w:t xml:space="preserve"> | </w:t>
    </w:r>
    <w:hyperlink r:id="rId2">
      <w:r w:rsidDel="00000000" w:rsidR="00000000" w:rsidRPr="00000000">
        <w:rPr>
          <w:color w:val="1155cc"/>
          <w:u w:val="single"/>
          <w:rtl w:val="0"/>
        </w:rPr>
        <w:t xml:space="preserve">w</w:t>
      </w:r>
    </w:hyperlink>
    <w:hyperlink r:id="rId3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ww.sawickilegal.pl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.9999999999998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2">
    <w:lvl w:ilvl="0">
      <w:start w:val="4"/>
      <w:numFmt w:val="upperRoman"/>
      <w:lvlText w:val="%1."/>
      <w:lvlJc w:val="right"/>
      <w:pPr>
        <w:ind w:left="1601" w:hanging="360"/>
      </w:pPr>
      <w:rPr/>
    </w:lvl>
    <w:lvl w:ilvl="1">
      <w:start w:val="1"/>
      <w:numFmt w:val="lowerLetter"/>
      <w:lvlText w:val="%2."/>
      <w:lvlJc w:val="left"/>
      <w:pPr>
        <w:ind w:left="1781" w:hanging="360"/>
      </w:pPr>
      <w:rPr/>
    </w:lvl>
    <w:lvl w:ilvl="2">
      <w:start w:val="1"/>
      <w:numFmt w:val="lowerRoman"/>
      <w:lvlText w:val="%3."/>
      <w:lvlJc w:val="right"/>
      <w:pPr>
        <w:ind w:left="2501" w:hanging="180"/>
      </w:pPr>
      <w:rPr/>
    </w:lvl>
    <w:lvl w:ilvl="3">
      <w:start w:val="1"/>
      <w:numFmt w:val="decimal"/>
      <w:lvlText w:val="%4."/>
      <w:lvlJc w:val="left"/>
      <w:pPr>
        <w:ind w:left="3221" w:hanging="360"/>
      </w:pPr>
      <w:rPr/>
    </w:lvl>
    <w:lvl w:ilvl="4">
      <w:start w:val="1"/>
      <w:numFmt w:val="lowerLetter"/>
      <w:lvlText w:val="%5."/>
      <w:lvlJc w:val="left"/>
      <w:pPr>
        <w:ind w:left="3941" w:hanging="360"/>
      </w:pPr>
      <w:rPr/>
    </w:lvl>
    <w:lvl w:ilvl="5">
      <w:start w:val="1"/>
      <w:numFmt w:val="lowerRoman"/>
      <w:lvlText w:val="%6."/>
      <w:lvlJc w:val="right"/>
      <w:pPr>
        <w:ind w:left="4661" w:hanging="180"/>
      </w:pPr>
      <w:rPr/>
    </w:lvl>
    <w:lvl w:ilvl="6">
      <w:start w:val="1"/>
      <w:numFmt w:val="decimal"/>
      <w:lvlText w:val="%7."/>
      <w:lvlJc w:val="left"/>
      <w:pPr>
        <w:ind w:left="5381" w:hanging="360"/>
      </w:pPr>
      <w:rPr/>
    </w:lvl>
    <w:lvl w:ilvl="7">
      <w:start w:val="1"/>
      <w:numFmt w:val="lowerLetter"/>
      <w:lvlText w:val="%8."/>
      <w:lvlJc w:val="left"/>
      <w:pPr>
        <w:ind w:left="6101" w:hanging="360"/>
      </w:pPr>
      <w:rPr/>
    </w:lvl>
    <w:lvl w:ilvl="8">
      <w:start w:val="1"/>
      <w:numFmt w:val="lowerRoman"/>
      <w:lvlText w:val="%9."/>
      <w:lvlJc w:val="right"/>
      <w:pPr>
        <w:ind w:left="6821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866" w:hanging="866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5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866" w:hanging="866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2"/>
      <w:numFmt w:val="lowerLetter"/>
      <w:lvlText w:val="%2)"/>
      <w:lvlJc w:val="left"/>
      <w:pPr>
        <w:ind w:left="1241" w:hanging="1241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36" w:hanging="1836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56" w:hanging="2556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76" w:hanging="3276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96" w:hanging="3996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716" w:hanging="4716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36" w:hanging="5436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56" w:hanging="6156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866" w:hanging="866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462" w:hanging="1462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182" w:hanging="2182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902" w:hanging="2902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622" w:hanging="3622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342" w:hanging="4342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062" w:hanging="5062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782" w:hanging="5782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502" w:hanging="6502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866" w:hanging="866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462" w:hanging="1462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182" w:hanging="2182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902" w:hanging="2902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622" w:hanging="3622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342" w:hanging="4342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062" w:hanging="5062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782" w:hanging="5782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502" w:hanging="6502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866" w:hanging="866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)"/>
      <w:lvlJc w:val="left"/>
      <w:pPr>
        <w:ind w:left="1241" w:hanging="1241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7" w:hanging="1807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7" w:hanging="2527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7" w:hanging="3247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7" w:hanging="3967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7" w:hanging="4687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7" w:hanging="5407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7" w:hanging="6127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65" w:right="0" w:hanging="10"/>
      <w:jc w:val="center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74" w:before="0" w:line="259" w:lineRule="auto"/>
      <w:ind w:left="351" w:right="0" w:hanging="1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emoral.com/pl/system-dla-sygnalistow" TargetMode="External"/><Relationship Id="rId7" Type="http://schemas.openxmlformats.org/officeDocument/2006/relationships/hyperlink" Target="https://wemoral.com/pl/report/demo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emoral.com/pl" TargetMode="External"/><Relationship Id="rId2" Type="http://schemas.openxmlformats.org/officeDocument/2006/relationships/hyperlink" Target="https://sawickilegal.pl" TargetMode="External"/><Relationship Id="rId3" Type="http://schemas.openxmlformats.org/officeDocument/2006/relationships/hyperlink" Target="https://sawickilega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